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A7" w:rsidRPr="00437893" w:rsidRDefault="002802A7" w:rsidP="00F62334">
      <w:pPr>
        <w:pStyle w:val="a6"/>
        <w:ind w:leftChars="-354" w:left="-850" w:rightChars="-496" w:right="-1190"/>
        <w:jc w:val="center"/>
        <w:outlineLvl w:val="1"/>
        <w:rPr>
          <w:rFonts w:ascii="標楷體" w:eastAsia="標楷體" w:hAnsi="標楷體"/>
          <w:sz w:val="30"/>
          <w:szCs w:val="30"/>
        </w:rPr>
      </w:pPr>
      <w:bookmarkStart w:id="0" w:name="_Toc392856493"/>
      <w:bookmarkStart w:id="1" w:name="_Toc400633341"/>
      <w:r w:rsidRPr="00437893">
        <w:rPr>
          <w:rFonts w:ascii="標楷體" w:eastAsia="標楷體" w:hAnsi="標楷體"/>
          <w:sz w:val="30"/>
          <w:szCs w:val="30"/>
        </w:rPr>
        <w:t>國立臺中教育大學教師專業碩士學位學程</w:t>
      </w:r>
      <w:bookmarkStart w:id="2" w:name="研究生選課注意事項"/>
      <w:r w:rsidRPr="00437893">
        <w:rPr>
          <w:rFonts w:ascii="標楷體" w:eastAsia="標楷體" w:hAnsi="標楷體"/>
          <w:sz w:val="30"/>
          <w:szCs w:val="30"/>
        </w:rPr>
        <w:t>研究生選課注意事項</w:t>
      </w:r>
      <w:bookmarkEnd w:id="0"/>
      <w:bookmarkEnd w:id="1"/>
    </w:p>
    <w:bookmarkEnd w:id="2"/>
    <w:p w:rsidR="002802A7" w:rsidRPr="00437893" w:rsidRDefault="002802A7" w:rsidP="002802A7">
      <w:pPr>
        <w:pStyle w:val="a3"/>
        <w:spacing w:line="0" w:lineRule="atLeast"/>
        <w:ind w:left="0" w:right="400"/>
        <w:rPr>
          <w:rFonts w:ascii="Times New Roman" w:eastAsia="標楷體"/>
          <w:sz w:val="20"/>
        </w:rPr>
      </w:pPr>
    </w:p>
    <w:p w:rsidR="002802A7" w:rsidRPr="00437893" w:rsidRDefault="002802A7" w:rsidP="00F62334">
      <w:pPr>
        <w:pStyle w:val="a3"/>
        <w:spacing w:line="0" w:lineRule="atLeast"/>
        <w:ind w:left="482" w:rightChars="-277" w:right="-665"/>
        <w:jc w:val="right"/>
        <w:rPr>
          <w:rFonts w:ascii="Times New Roman" w:eastAsia="標楷體"/>
          <w:sz w:val="20"/>
        </w:rPr>
      </w:pPr>
      <w:r w:rsidRPr="00437893">
        <w:rPr>
          <w:rFonts w:ascii="Times New Roman" w:eastAsia="標楷體"/>
          <w:sz w:val="20"/>
        </w:rPr>
        <w:t>101</w:t>
      </w:r>
      <w:r w:rsidRPr="00437893">
        <w:rPr>
          <w:rFonts w:ascii="Times New Roman" w:eastAsia="標楷體" w:hAnsi="標楷體"/>
          <w:sz w:val="20"/>
        </w:rPr>
        <w:t>年</w:t>
      </w:r>
      <w:r w:rsidRPr="00437893">
        <w:rPr>
          <w:rFonts w:ascii="Times New Roman" w:eastAsia="標楷體"/>
          <w:sz w:val="20"/>
        </w:rPr>
        <w:t>9</w:t>
      </w:r>
      <w:r w:rsidRPr="00437893">
        <w:rPr>
          <w:rFonts w:ascii="Times New Roman" w:eastAsia="標楷體" w:hAnsi="標楷體"/>
          <w:sz w:val="20"/>
        </w:rPr>
        <w:t>月</w:t>
      </w:r>
      <w:r w:rsidRPr="00437893">
        <w:rPr>
          <w:rFonts w:ascii="Times New Roman" w:eastAsia="標楷體"/>
          <w:sz w:val="20"/>
        </w:rPr>
        <w:t>25</w:t>
      </w:r>
      <w:r w:rsidRPr="00437893">
        <w:rPr>
          <w:rFonts w:ascii="Times New Roman" w:eastAsia="標楷體" w:hAnsi="標楷體"/>
          <w:sz w:val="20"/>
        </w:rPr>
        <w:t>日</w:t>
      </w:r>
      <w:r w:rsidRPr="00437893">
        <w:rPr>
          <w:rFonts w:ascii="Times New Roman" w:eastAsia="標楷體"/>
          <w:sz w:val="20"/>
        </w:rPr>
        <w:t>101</w:t>
      </w:r>
      <w:r w:rsidRPr="00437893">
        <w:rPr>
          <w:rFonts w:ascii="Times New Roman" w:eastAsia="標楷體" w:hAnsi="標楷體"/>
          <w:sz w:val="20"/>
        </w:rPr>
        <w:t>學年度第一次學程審議委員會議通過</w:t>
      </w:r>
    </w:p>
    <w:p w:rsidR="002802A7" w:rsidRPr="00437893" w:rsidRDefault="002802A7" w:rsidP="00F62334">
      <w:pPr>
        <w:pStyle w:val="a3"/>
        <w:ind w:rightChars="-277" w:right="-665"/>
        <w:jc w:val="right"/>
        <w:rPr>
          <w:rFonts w:ascii="Times New Roman" w:eastAsia="標楷體"/>
          <w:sz w:val="20"/>
        </w:rPr>
      </w:pPr>
      <w:r w:rsidRPr="00437893">
        <w:rPr>
          <w:rFonts w:ascii="Times New Roman" w:eastAsia="標楷體"/>
          <w:sz w:val="20"/>
        </w:rPr>
        <w:t>103</w:t>
      </w:r>
      <w:r w:rsidRPr="00437893">
        <w:rPr>
          <w:rFonts w:ascii="Times New Roman" w:eastAsia="標楷體" w:hAnsi="標楷體"/>
          <w:sz w:val="20"/>
        </w:rPr>
        <w:t>年</w:t>
      </w:r>
      <w:r w:rsidRPr="00437893">
        <w:rPr>
          <w:rFonts w:ascii="Times New Roman" w:eastAsia="標楷體"/>
          <w:sz w:val="20"/>
        </w:rPr>
        <w:t>6</w:t>
      </w:r>
      <w:r w:rsidRPr="00437893">
        <w:rPr>
          <w:rFonts w:ascii="Times New Roman" w:eastAsia="標楷體" w:hAnsi="標楷體"/>
          <w:sz w:val="20"/>
        </w:rPr>
        <w:t>月</w:t>
      </w:r>
      <w:r w:rsidRPr="00437893">
        <w:rPr>
          <w:rFonts w:ascii="Times New Roman" w:eastAsia="標楷體"/>
          <w:sz w:val="20"/>
        </w:rPr>
        <w:t>25</w:t>
      </w:r>
      <w:r w:rsidRPr="00437893">
        <w:rPr>
          <w:rFonts w:ascii="Times New Roman" w:eastAsia="標楷體" w:hAnsi="標楷體"/>
          <w:sz w:val="20"/>
        </w:rPr>
        <w:t>日</w:t>
      </w:r>
      <w:r w:rsidRPr="00437893">
        <w:rPr>
          <w:rFonts w:ascii="Times New Roman" w:eastAsia="標楷體"/>
          <w:sz w:val="20"/>
        </w:rPr>
        <w:t>102</w:t>
      </w:r>
      <w:r w:rsidRPr="00437893">
        <w:rPr>
          <w:rFonts w:ascii="Times New Roman" w:eastAsia="標楷體" w:hAnsi="標楷體"/>
          <w:sz w:val="20"/>
        </w:rPr>
        <w:t>學年度第</w:t>
      </w:r>
      <w:r w:rsidRPr="00437893">
        <w:rPr>
          <w:rFonts w:ascii="Times New Roman" w:eastAsia="標楷體"/>
          <w:sz w:val="20"/>
        </w:rPr>
        <w:t>2</w:t>
      </w:r>
      <w:r w:rsidRPr="00437893">
        <w:rPr>
          <w:rFonts w:ascii="Times New Roman" w:eastAsia="標楷體" w:hAnsi="標楷體"/>
          <w:sz w:val="20"/>
        </w:rPr>
        <w:t>學期第</w:t>
      </w:r>
      <w:r w:rsidRPr="00437893">
        <w:rPr>
          <w:rFonts w:ascii="Times New Roman" w:eastAsia="標楷體"/>
          <w:sz w:val="20"/>
        </w:rPr>
        <w:t>2</w:t>
      </w:r>
      <w:r w:rsidRPr="00437893">
        <w:rPr>
          <w:rFonts w:ascii="Times New Roman" w:eastAsia="標楷體" w:hAnsi="標楷體"/>
          <w:sz w:val="20"/>
        </w:rPr>
        <w:t>次學程審議委員會議通過</w:t>
      </w:r>
    </w:p>
    <w:p w:rsidR="00F62334" w:rsidRPr="00437893" w:rsidRDefault="00F62334" w:rsidP="00021260">
      <w:pPr>
        <w:pStyle w:val="a3"/>
        <w:ind w:rightChars="-277" w:right="-665"/>
        <w:jc w:val="right"/>
        <w:rPr>
          <w:rFonts w:ascii="Times New Roman" w:eastAsia="標楷體" w:hAnsi="標楷體"/>
          <w:sz w:val="20"/>
        </w:rPr>
      </w:pPr>
      <w:r w:rsidRPr="00437893">
        <w:rPr>
          <w:rFonts w:ascii="Times New Roman" w:eastAsia="標楷體" w:hAnsi="標楷體" w:hint="eastAsia"/>
          <w:sz w:val="20"/>
        </w:rPr>
        <w:t>106</w:t>
      </w:r>
      <w:r w:rsidRPr="00437893">
        <w:rPr>
          <w:rFonts w:ascii="Times New Roman" w:eastAsia="標楷體" w:hAnsi="標楷體"/>
          <w:sz w:val="20"/>
        </w:rPr>
        <w:t>年</w:t>
      </w:r>
      <w:r w:rsidRPr="00437893">
        <w:rPr>
          <w:rFonts w:ascii="Times New Roman" w:eastAsia="標楷體" w:hAnsi="標楷體" w:hint="eastAsia"/>
          <w:sz w:val="20"/>
        </w:rPr>
        <w:t>10</w:t>
      </w:r>
      <w:r w:rsidRPr="00437893">
        <w:rPr>
          <w:rFonts w:ascii="Times New Roman" w:eastAsia="標楷體" w:hAnsi="標楷體"/>
          <w:sz w:val="20"/>
        </w:rPr>
        <w:t>月</w:t>
      </w:r>
      <w:r w:rsidRPr="00437893">
        <w:rPr>
          <w:rFonts w:ascii="Times New Roman" w:eastAsia="標楷體" w:hAnsi="標楷體" w:hint="eastAsia"/>
          <w:sz w:val="20"/>
        </w:rPr>
        <w:t>31</w:t>
      </w:r>
      <w:r w:rsidRPr="00437893">
        <w:rPr>
          <w:rFonts w:ascii="Times New Roman" w:eastAsia="標楷體" w:hAnsi="標楷體"/>
          <w:sz w:val="20"/>
        </w:rPr>
        <w:t>日</w:t>
      </w:r>
      <w:r w:rsidRPr="00437893">
        <w:rPr>
          <w:rFonts w:ascii="Times New Roman" w:eastAsia="標楷體" w:hAnsi="標楷體" w:hint="eastAsia"/>
          <w:sz w:val="20"/>
        </w:rPr>
        <w:t>106</w:t>
      </w:r>
      <w:r w:rsidRPr="00437893">
        <w:rPr>
          <w:rFonts w:ascii="Times New Roman" w:eastAsia="標楷體" w:hAnsi="標楷體"/>
          <w:sz w:val="20"/>
        </w:rPr>
        <w:t>學年度第</w:t>
      </w:r>
      <w:r w:rsidRPr="00437893">
        <w:rPr>
          <w:rFonts w:ascii="Times New Roman" w:eastAsia="標楷體" w:hAnsi="標楷體" w:hint="eastAsia"/>
          <w:sz w:val="20"/>
        </w:rPr>
        <w:t>2</w:t>
      </w:r>
      <w:r w:rsidRPr="00437893">
        <w:rPr>
          <w:rFonts w:ascii="Times New Roman" w:eastAsia="標楷體" w:hAnsi="標楷體"/>
          <w:sz w:val="20"/>
        </w:rPr>
        <w:t>學期第</w:t>
      </w:r>
      <w:r w:rsidRPr="00437893">
        <w:rPr>
          <w:rFonts w:ascii="Times New Roman" w:eastAsia="標楷體" w:hAnsi="標楷體" w:hint="eastAsia"/>
          <w:sz w:val="20"/>
        </w:rPr>
        <w:t>2</w:t>
      </w:r>
      <w:r w:rsidRPr="00437893">
        <w:rPr>
          <w:rFonts w:ascii="Times New Roman" w:eastAsia="標楷體" w:hAnsi="標楷體"/>
          <w:sz w:val="20"/>
        </w:rPr>
        <w:t>次學程</w:t>
      </w:r>
      <w:r w:rsidRPr="00437893">
        <w:rPr>
          <w:rFonts w:ascii="Times New Roman" w:eastAsia="標楷體" w:hAnsi="標楷體" w:hint="eastAsia"/>
          <w:sz w:val="20"/>
        </w:rPr>
        <w:t>事務</w:t>
      </w:r>
      <w:r w:rsidRPr="00437893">
        <w:rPr>
          <w:rFonts w:ascii="Times New Roman" w:eastAsia="標楷體" w:hAnsi="標楷體"/>
          <w:sz w:val="20"/>
        </w:rPr>
        <w:t>委員會議</w:t>
      </w:r>
      <w:r w:rsidRPr="00437893">
        <w:rPr>
          <w:rFonts w:ascii="Times New Roman" w:eastAsia="標楷體" w:hAnsi="標楷體" w:hint="eastAsia"/>
          <w:sz w:val="20"/>
        </w:rPr>
        <w:t>修正第</w:t>
      </w:r>
      <w:r w:rsidRPr="00437893">
        <w:rPr>
          <w:rFonts w:ascii="Times New Roman" w:eastAsia="標楷體" w:hAnsi="標楷體" w:hint="eastAsia"/>
          <w:sz w:val="20"/>
        </w:rPr>
        <w:t>1</w:t>
      </w:r>
      <w:r w:rsidRPr="00437893">
        <w:rPr>
          <w:rFonts w:ascii="Times New Roman" w:eastAsia="標楷體" w:hAnsi="標楷體" w:hint="eastAsia"/>
          <w:sz w:val="20"/>
        </w:rPr>
        <w:t>、</w:t>
      </w:r>
      <w:r w:rsidRPr="00437893">
        <w:rPr>
          <w:rFonts w:ascii="Times New Roman" w:eastAsia="標楷體" w:hAnsi="標楷體" w:hint="eastAsia"/>
          <w:sz w:val="20"/>
        </w:rPr>
        <w:t>2</w:t>
      </w:r>
      <w:r w:rsidRPr="00437893">
        <w:rPr>
          <w:rFonts w:ascii="Times New Roman" w:eastAsia="標楷體" w:hAnsi="標楷體" w:hint="eastAsia"/>
          <w:sz w:val="20"/>
        </w:rPr>
        <w:t>、</w:t>
      </w:r>
      <w:r w:rsidRPr="00437893">
        <w:rPr>
          <w:rFonts w:ascii="Times New Roman" w:eastAsia="標楷體" w:hAnsi="標楷體" w:hint="eastAsia"/>
          <w:sz w:val="20"/>
        </w:rPr>
        <w:t>6</w:t>
      </w:r>
      <w:r w:rsidRPr="00437893">
        <w:rPr>
          <w:rFonts w:ascii="Times New Roman" w:eastAsia="標楷體" w:hAnsi="標楷體" w:hint="eastAsia"/>
          <w:sz w:val="20"/>
        </w:rPr>
        <w:t>點</w:t>
      </w:r>
    </w:p>
    <w:p w:rsidR="00437893" w:rsidRPr="00437893" w:rsidRDefault="00437893" w:rsidP="00021260">
      <w:pPr>
        <w:pStyle w:val="a3"/>
        <w:ind w:rightChars="-277" w:right="-665"/>
        <w:jc w:val="right"/>
        <w:rPr>
          <w:rFonts w:ascii="Times New Roman" w:eastAsia="標楷體"/>
        </w:rPr>
      </w:pPr>
      <w:r>
        <w:rPr>
          <w:rFonts w:eastAsia="標楷體" w:hAnsi="標楷體" w:hint="eastAsia"/>
          <w:sz w:val="16"/>
          <w:szCs w:val="16"/>
        </w:rPr>
        <w:t>1</w:t>
      </w:r>
      <w:r>
        <w:rPr>
          <w:rFonts w:eastAsia="標楷體" w:hAnsi="標楷體"/>
          <w:sz w:val="16"/>
          <w:szCs w:val="16"/>
        </w:rPr>
        <w:t>08</w:t>
      </w:r>
      <w:r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/>
          <w:sz w:val="16"/>
          <w:szCs w:val="16"/>
        </w:rPr>
        <w:t>3</w:t>
      </w:r>
      <w:r>
        <w:rPr>
          <w:rFonts w:eastAsia="標楷體" w:hAnsi="標楷體" w:hint="eastAsia"/>
          <w:sz w:val="16"/>
          <w:szCs w:val="16"/>
        </w:rPr>
        <w:t>月</w:t>
      </w:r>
      <w:r w:rsidR="00AF0A0E">
        <w:rPr>
          <w:rFonts w:eastAsia="標楷體" w:hAnsi="標楷體"/>
          <w:sz w:val="16"/>
          <w:szCs w:val="16"/>
        </w:rPr>
        <w:t>27</w:t>
      </w:r>
      <w:r>
        <w:rPr>
          <w:rFonts w:eastAsia="標楷體" w:hAnsi="標楷體" w:hint="eastAsia"/>
          <w:sz w:val="16"/>
          <w:szCs w:val="16"/>
        </w:rPr>
        <w:t>日</w:t>
      </w:r>
      <w:r>
        <w:rPr>
          <w:rFonts w:eastAsia="標楷體" w:hAnsi="標楷體" w:hint="eastAsia"/>
          <w:sz w:val="16"/>
          <w:szCs w:val="16"/>
        </w:rPr>
        <w:t>10</w:t>
      </w:r>
      <w:r>
        <w:rPr>
          <w:rFonts w:eastAsia="標楷體" w:hAnsi="標楷體"/>
          <w:sz w:val="16"/>
          <w:szCs w:val="16"/>
        </w:rPr>
        <w:t>7</w:t>
      </w:r>
      <w:r w:rsidRPr="00D73CE7">
        <w:rPr>
          <w:rFonts w:eastAsia="標楷體" w:hAnsi="標楷體"/>
          <w:sz w:val="16"/>
          <w:szCs w:val="16"/>
        </w:rPr>
        <w:t>學年度第</w:t>
      </w:r>
      <w:r>
        <w:rPr>
          <w:rFonts w:eastAsia="標楷體" w:hAnsi="標楷體"/>
          <w:sz w:val="16"/>
          <w:szCs w:val="16"/>
        </w:rPr>
        <w:t>2</w:t>
      </w:r>
      <w:r w:rsidRPr="00D73CE7">
        <w:rPr>
          <w:rFonts w:eastAsia="標楷體" w:hAnsi="標楷體"/>
          <w:sz w:val="16"/>
          <w:szCs w:val="16"/>
        </w:rPr>
        <w:t>學期第</w:t>
      </w:r>
      <w:r>
        <w:rPr>
          <w:rFonts w:eastAsia="標楷體" w:hAnsi="標楷體"/>
          <w:sz w:val="16"/>
          <w:szCs w:val="16"/>
        </w:rPr>
        <w:t>1</w:t>
      </w:r>
      <w:r w:rsidRPr="00D73CE7">
        <w:rPr>
          <w:rFonts w:eastAsia="標楷體" w:hAnsi="標楷體"/>
          <w:sz w:val="16"/>
          <w:szCs w:val="16"/>
        </w:rPr>
        <w:t>次學程</w:t>
      </w:r>
      <w:r>
        <w:rPr>
          <w:rFonts w:eastAsia="標楷體" w:hAnsi="標楷體" w:hint="eastAsia"/>
          <w:sz w:val="16"/>
          <w:szCs w:val="16"/>
        </w:rPr>
        <w:t>事務</w:t>
      </w:r>
      <w:r w:rsidRPr="00D73CE7">
        <w:rPr>
          <w:rFonts w:eastAsia="標楷體" w:hAnsi="標楷體"/>
          <w:sz w:val="16"/>
          <w:szCs w:val="16"/>
        </w:rPr>
        <w:t>會議</w:t>
      </w:r>
      <w:r w:rsidRPr="00D73CE7">
        <w:rPr>
          <w:rFonts w:eastAsia="標楷體" w:hAnsi="標楷體" w:hint="eastAsia"/>
          <w:sz w:val="16"/>
          <w:szCs w:val="16"/>
        </w:rPr>
        <w:t>修</w:t>
      </w:r>
      <w:r>
        <w:rPr>
          <w:rFonts w:eastAsia="標楷體" w:hAnsi="標楷體" w:hint="eastAsia"/>
          <w:sz w:val="16"/>
          <w:szCs w:val="16"/>
        </w:rPr>
        <w:t>正部分條文</w:t>
      </w:r>
    </w:p>
    <w:p w:rsidR="002802A7" w:rsidRPr="00437893" w:rsidRDefault="002802A7" w:rsidP="00F62334">
      <w:pPr>
        <w:pStyle w:val="a3"/>
        <w:widowControl/>
        <w:numPr>
          <w:ilvl w:val="0"/>
          <w:numId w:val="1"/>
        </w:numPr>
        <w:autoSpaceDE w:val="0"/>
        <w:autoSpaceDN w:val="0"/>
        <w:spacing w:line="400" w:lineRule="exact"/>
        <w:ind w:rightChars="-277" w:right="-665"/>
        <w:textAlignment w:val="bottom"/>
        <w:rPr>
          <w:rFonts w:ascii="Times New Roman" w:eastAsia="標楷體"/>
          <w:szCs w:val="24"/>
        </w:rPr>
      </w:pPr>
      <w:r w:rsidRPr="00437893">
        <w:rPr>
          <w:rFonts w:ascii="Times New Roman" w:eastAsia="標楷體" w:hAnsi="標楷體"/>
          <w:szCs w:val="24"/>
        </w:rPr>
        <w:t>國立臺中教育大學教師專業碩士學位學程（以下簡稱本學程）研究生至少應修畢</w:t>
      </w:r>
      <w:r w:rsidR="00F62334" w:rsidRPr="00437893">
        <w:rPr>
          <w:rFonts w:ascii="Times New Roman" w:eastAsia="標楷體" w:hint="eastAsia"/>
          <w:szCs w:val="24"/>
        </w:rPr>
        <w:t>該入學年度課程架構表所規範之學分</w:t>
      </w:r>
      <w:r w:rsidRPr="00437893">
        <w:rPr>
          <w:rFonts w:ascii="Times New Roman" w:eastAsia="標楷體" w:hAnsi="標楷體"/>
          <w:szCs w:val="24"/>
        </w:rPr>
        <w:t>。</w:t>
      </w:r>
    </w:p>
    <w:p w:rsidR="002802A7" w:rsidRPr="00437893" w:rsidRDefault="002802A7" w:rsidP="000502DD">
      <w:pPr>
        <w:pStyle w:val="a3"/>
        <w:widowControl/>
        <w:numPr>
          <w:ilvl w:val="0"/>
          <w:numId w:val="1"/>
        </w:numPr>
        <w:autoSpaceDE w:val="0"/>
        <w:autoSpaceDN w:val="0"/>
        <w:spacing w:line="400" w:lineRule="exact"/>
        <w:ind w:rightChars="-277" w:right="-665"/>
        <w:textAlignment w:val="bottom"/>
        <w:rPr>
          <w:rFonts w:ascii="Times New Roman" w:eastAsia="標楷體"/>
          <w:szCs w:val="24"/>
        </w:rPr>
      </w:pPr>
      <w:r w:rsidRPr="00437893">
        <w:rPr>
          <w:rFonts w:ascii="Times New Roman" w:eastAsia="標楷體" w:hAnsi="標楷體"/>
          <w:szCs w:val="24"/>
        </w:rPr>
        <w:t>本學程全時研究生選課每學期修課最多不得超過</w:t>
      </w:r>
      <w:r w:rsidRPr="00437893">
        <w:rPr>
          <w:rFonts w:ascii="Times New Roman" w:eastAsia="標楷體"/>
          <w:szCs w:val="24"/>
        </w:rPr>
        <w:t>20</w:t>
      </w:r>
      <w:r w:rsidRPr="00437893">
        <w:rPr>
          <w:rFonts w:ascii="Times New Roman" w:eastAsia="標楷體" w:hAnsi="標楷體"/>
          <w:szCs w:val="24"/>
        </w:rPr>
        <w:t>學分（不含</w:t>
      </w:r>
      <w:r w:rsidR="000502DD" w:rsidRPr="00437893">
        <w:rPr>
          <w:rFonts w:ascii="Times New Roman" w:eastAsia="標楷體" w:hAnsi="標楷體" w:hint="eastAsia"/>
          <w:szCs w:val="24"/>
        </w:rPr>
        <w:t>教育部頒布之國民小學教師加註各領域專長專門課程科目</w:t>
      </w:r>
      <w:r w:rsidRPr="00437893">
        <w:rPr>
          <w:rFonts w:ascii="Times New Roman" w:eastAsia="標楷體" w:hAnsi="標楷體"/>
          <w:szCs w:val="24"/>
        </w:rPr>
        <w:t>、包班知能及補修教學學科學分），必要時得</w:t>
      </w:r>
      <w:r w:rsidR="00F62334" w:rsidRPr="00437893">
        <w:rPr>
          <w:rFonts w:ascii="Times New Roman" w:eastAsia="標楷體" w:hAnsi="標楷體"/>
          <w:szCs w:val="24"/>
        </w:rPr>
        <w:t>填寫超修學分申請表</w:t>
      </w:r>
      <w:r w:rsidR="00F62334" w:rsidRPr="00437893">
        <w:rPr>
          <w:rFonts w:ascii="Times New Roman" w:eastAsia="標楷體" w:hAnsi="標楷體" w:hint="eastAsia"/>
          <w:szCs w:val="24"/>
        </w:rPr>
        <w:t>，</w:t>
      </w:r>
      <w:r w:rsidR="00F62334" w:rsidRPr="00437893">
        <w:rPr>
          <w:rFonts w:ascii="Times New Roman" w:eastAsia="標楷體" w:hAnsi="標楷體"/>
          <w:szCs w:val="24"/>
        </w:rPr>
        <w:t>經導師及學程主任同意</w:t>
      </w:r>
      <w:r w:rsidR="00F62334" w:rsidRPr="00437893">
        <w:rPr>
          <w:rFonts w:ascii="Times New Roman" w:eastAsia="標楷體" w:hAnsi="標楷體" w:hint="eastAsia"/>
          <w:szCs w:val="24"/>
        </w:rPr>
        <w:t>後，始得</w:t>
      </w:r>
      <w:r w:rsidRPr="00437893">
        <w:rPr>
          <w:rFonts w:ascii="Times New Roman" w:eastAsia="標楷體" w:hAnsi="標楷體"/>
          <w:szCs w:val="24"/>
        </w:rPr>
        <w:t>加修學分。</w:t>
      </w:r>
    </w:p>
    <w:p w:rsidR="002802A7" w:rsidRPr="00437893" w:rsidRDefault="002802A7" w:rsidP="00F62334">
      <w:pPr>
        <w:pStyle w:val="a3"/>
        <w:widowControl/>
        <w:numPr>
          <w:ilvl w:val="0"/>
          <w:numId w:val="1"/>
        </w:numPr>
        <w:autoSpaceDE w:val="0"/>
        <w:autoSpaceDN w:val="0"/>
        <w:spacing w:line="400" w:lineRule="exact"/>
        <w:ind w:rightChars="-277" w:right="-665"/>
        <w:textAlignment w:val="bottom"/>
        <w:rPr>
          <w:rFonts w:ascii="Times New Roman" w:eastAsia="標楷體"/>
          <w:szCs w:val="24"/>
        </w:rPr>
      </w:pPr>
      <w:r w:rsidRPr="00437893">
        <w:rPr>
          <w:rFonts w:ascii="Times New Roman" w:eastAsia="標楷體" w:hAnsi="標楷體"/>
          <w:szCs w:val="24"/>
        </w:rPr>
        <w:t>本學程研究生如因需要補修大學教學學科課程，併計每學期最多不得超過</w:t>
      </w:r>
      <w:r w:rsidRPr="00437893">
        <w:rPr>
          <w:rFonts w:ascii="Times New Roman" w:eastAsia="標楷體"/>
          <w:szCs w:val="24"/>
        </w:rPr>
        <w:t>20</w:t>
      </w:r>
      <w:r w:rsidRPr="00437893">
        <w:rPr>
          <w:rFonts w:ascii="Times New Roman" w:eastAsia="標楷體" w:hAnsi="標楷體"/>
          <w:szCs w:val="24"/>
        </w:rPr>
        <w:t>學分（不含加註專長專門課程）。</w:t>
      </w:r>
    </w:p>
    <w:p w:rsidR="002802A7" w:rsidRPr="00437893" w:rsidRDefault="000524C0" w:rsidP="000524C0">
      <w:pPr>
        <w:pStyle w:val="a3"/>
        <w:widowControl/>
        <w:numPr>
          <w:ilvl w:val="0"/>
          <w:numId w:val="3"/>
        </w:numPr>
        <w:autoSpaceDE w:val="0"/>
        <w:autoSpaceDN w:val="0"/>
        <w:spacing w:line="400" w:lineRule="exact"/>
        <w:ind w:rightChars="-218" w:right="-523"/>
        <w:textAlignment w:val="bottom"/>
        <w:rPr>
          <w:rFonts w:ascii="Times New Roman" w:eastAsia="標楷體"/>
          <w:szCs w:val="24"/>
        </w:rPr>
      </w:pPr>
      <w:r w:rsidRPr="000524C0">
        <w:rPr>
          <w:rFonts w:ascii="Times New Roman" w:eastAsia="標楷體" w:hAnsi="標楷體" w:hint="eastAsia"/>
          <w:b/>
          <w:color w:val="FF0000"/>
          <w:szCs w:val="24"/>
        </w:rPr>
        <w:t>研究生於入學前已在他校修習碩士學位課程者，其已修習及格科目如與本學程課程名稱雖相同，其學分均不予採計。</w:t>
      </w:r>
    </w:p>
    <w:p w:rsidR="009C47E4" w:rsidRPr="009C47E4" w:rsidRDefault="002802A7" w:rsidP="009C47E4">
      <w:pPr>
        <w:pStyle w:val="a3"/>
        <w:widowControl/>
        <w:numPr>
          <w:ilvl w:val="0"/>
          <w:numId w:val="3"/>
        </w:numPr>
        <w:autoSpaceDE w:val="0"/>
        <w:autoSpaceDN w:val="0"/>
        <w:spacing w:line="400" w:lineRule="exact"/>
        <w:textAlignment w:val="bottom"/>
        <w:rPr>
          <w:rFonts w:ascii="Times New Roman" w:eastAsia="標楷體"/>
          <w:szCs w:val="24"/>
        </w:rPr>
      </w:pPr>
      <w:r w:rsidRPr="00437893">
        <w:rPr>
          <w:rFonts w:ascii="Times New Roman" w:eastAsia="標楷體" w:hAnsi="標楷體"/>
          <w:szCs w:val="24"/>
        </w:rPr>
        <w:t>本注意事項經學程</w:t>
      </w:r>
      <w:r w:rsidR="00F62334" w:rsidRPr="00437893">
        <w:rPr>
          <w:rFonts w:ascii="Times New Roman" w:eastAsia="標楷體" w:hAnsi="標楷體" w:hint="eastAsia"/>
          <w:szCs w:val="24"/>
        </w:rPr>
        <w:t>事務</w:t>
      </w:r>
      <w:r w:rsidRPr="00437893">
        <w:rPr>
          <w:rFonts w:ascii="Times New Roman" w:eastAsia="標楷體" w:hAnsi="標楷體"/>
          <w:szCs w:val="24"/>
        </w:rPr>
        <w:t>會議通過後實施，修正時亦同。</w:t>
      </w:r>
      <w:bookmarkStart w:id="3" w:name="_GoBack"/>
      <w:bookmarkEnd w:id="3"/>
    </w:p>
    <w:sectPr w:rsidR="009C47E4" w:rsidRPr="009C47E4" w:rsidSect="00021260">
      <w:pgSz w:w="11906" w:h="16838"/>
      <w:pgMar w:top="426" w:right="184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E5" w:rsidRDefault="00DC71E5" w:rsidP="00F62334">
      <w:r>
        <w:separator/>
      </w:r>
    </w:p>
  </w:endnote>
  <w:endnote w:type="continuationSeparator" w:id="0">
    <w:p w:rsidR="00DC71E5" w:rsidRDefault="00DC71E5" w:rsidP="00F6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E5" w:rsidRDefault="00DC71E5" w:rsidP="00F62334">
      <w:r>
        <w:separator/>
      </w:r>
    </w:p>
  </w:footnote>
  <w:footnote w:type="continuationSeparator" w:id="0">
    <w:p w:rsidR="00DC71E5" w:rsidRDefault="00DC71E5" w:rsidP="00F6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3EC"/>
    <w:multiLevelType w:val="hybridMultilevel"/>
    <w:tmpl w:val="F1CCE474"/>
    <w:lvl w:ilvl="0" w:tplc="A1BC35D8">
      <w:start w:val="4"/>
      <w:numFmt w:val="taiwaneseCountingThousand"/>
      <w:lvlText w:val="%1、"/>
      <w:lvlJc w:val="left"/>
      <w:pPr>
        <w:ind w:left="20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02DD9"/>
    <w:multiLevelType w:val="hybridMultilevel"/>
    <w:tmpl w:val="B942B9DE"/>
    <w:lvl w:ilvl="0" w:tplc="F9CCBAE0">
      <w:start w:val="1"/>
      <w:numFmt w:val="taiwaneseCountingThousand"/>
      <w:lvlText w:val="（%1）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9B6FF4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087997"/>
    <w:multiLevelType w:val="hybridMultilevel"/>
    <w:tmpl w:val="C290C0BA"/>
    <w:lvl w:ilvl="0" w:tplc="936C3D18">
      <w:start w:val="1"/>
      <w:numFmt w:val="taiwaneseCountingThousand"/>
      <w:lvlText w:val="%1、"/>
      <w:lvlJc w:val="left"/>
      <w:pPr>
        <w:ind w:left="20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8" w:hanging="480"/>
      </w:pPr>
    </w:lvl>
    <w:lvl w:ilvl="2" w:tplc="0409001B" w:tentative="1">
      <w:start w:val="1"/>
      <w:numFmt w:val="lowerRoman"/>
      <w:lvlText w:val="%3."/>
      <w:lvlJc w:val="right"/>
      <w:pPr>
        <w:ind w:left="1168" w:hanging="480"/>
      </w:pPr>
    </w:lvl>
    <w:lvl w:ilvl="3" w:tplc="0409000F" w:tentative="1">
      <w:start w:val="1"/>
      <w:numFmt w:val="decimal"/>
      <w:lvlText w:val="%4."/>
      <w:lvlJc w:val="left"/>
      <w:pPr>
        <w:ind w:left="1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8" w:hanging="480"/>
      </w:pPr>
    </w:lvl>
    <w:lvl w:ilvl="5" w:tplc="0409001B" w:tentative="1">
      <w:start w:val="1"/>
      <w:numFmt w:val="lowerRoman"/>
      <w:lvlText w:val="%6."/>
      <w:lvlJc w:val="right"/>
      <w:pPr>
        <w:ind w:left="2608" w:hanging="480"/>
      </w:pPr>
    </w:lvl>
    <w:lvl w:ilvl="6" w:tplc="0409000F" w:tentative="1">
      <w:start w:val="1"/>
      <w:numFmt w:val="decimal"/>
      <w:lvlText w:val="%7."/>
      <w:lvlJc w:val="left"/>
      <w:pPr>
        <w:ind w:left="3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8" w:hanging="480"/>
      </w:pPr>
    </w:lvl>
    <w:lvl w:ilvl="8" w:tplc="0409001B" w:tentative="1">
      <w:start w:val="1"/>
      <w:numFmt w:val="lowerRoman"/>
      <w:lvlText w:val="%9."/>
      <w:lvlJc w:val="right"/>
      <w:pPr>
        <w:ind w:left="404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A7"/>
    <w:rsid w:val="00021260"/>
    <w:rsid w:val="000502DD"/>
    <w:rsid w:val="000524C0"/>
    <w:rsid w:val="00111132"/>
    <w:rsid w:val="002802A7"/>
    <w:rsid w:val="00437893"/>
    <w:rsid w:val="00532570"/>
    <w:rsid w:val="00601D7B"/>
    <w:rsid w:val="0065112B"/>
    <w:rsid w:val="006B2498"/>
    <w:rsid w:val="006E4B7E"/>
    <w:rsid w:val="00835587"/>
    <w:rsid w:val="009A1871"/>
    <w:rsid w:val="009A751B"/>
    <w:rsid w:val="009C47E4"/>
    <w:rsid w:val="009E5272"/>
    <w:rsid w:val="00AF0A0E"/>
    <w:rsid w:val="00B06B1B"/>
    <w:rsid w:val="00B63934"/>
    <w:rsid w:val="00BC21E8"/>
    <w:rsid w:val="00C1603A"/>
    <w:rsid w:val="00DC71E5"/>
    <w:rsid w:val="00E9322F"/>
    <w:rsid w:val="00F62334"/>
    <w:rsid w:val="00F6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96659-FD64-41EB-BDC7-8B919A2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802A7"/>
    <w:pPr>
      <w:adjustRightInd w:val="0"/>
      <w:ind w:left="48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4">
    <w:name w:val="Subtitle"/>
    <w:basedOn w:val="a"/>
    <w:next w:val="a"/>
    <w:link w:val="a5"/>
    <w:qFormat/>
    <w:rsid w:val="002802A7"/>
    <w:pPr>
      <w:spacing w:after="40" w:line="0" w:lineRule="atLeast"/>
      <w:jc w:val="center"/>
      <w:outlineLvl w:val="1"/>
    </w:pPr>
    <w:rPr>
      <w:rFonts w:asciiTheme="majorHAnsi" w:eastAsia="標楷體" w:hAnsiTheme="majorHAnsi" w:cstheme="majorBidi"/>
      <w:b/>
      <w:iCs/>
      <w:sz w:val="32"/>
      <w:szCs w:val="32"/>
    </w:rPr>
  </w:style>
  <w:style w:type="character" w:customStyle="1" w:styleId="a5">
    <w:name w:val="副標題 字元"/>
    <w:basedOn w:val="a0"/>
    <w:link w:val="a4"/>
    <w:rsid w:val="002802A7"/>
    <w:rPr>
      <w:rFonts w:asciiTheme="majorHAnsi" w:eastAsia="標楷體" w:hAnsiTheme="majorHAnsi" w:cstheme="majorBidi"/>
      <w:b/>
      <w:iCs/>
      <w:sz w:val="32"/>
      <w:szCs w:val="32"/>
    </w:rPr>
  </w:style>
  <w:style w:type="paragraph" w:styleId="a6">
    <w:name w:val="No Spacing"/>
    <w:uiPriority w:val="1"/>
    <w:qFormat/>
    <w:rsid w:val="002802A7"/>
    <w:pPr>
      <w:widowControl w:val="0"/>
    </w:pPr>
  </w:style>
  <w:style w:type="paragraph" w:styleId="a7">
    <w:name w:val="header"/>
    <w:basedOn w:val="a"/>
    <w:link w:val="a8"/>
    <w:uiPriority w:val="99"/>
    <w:unhideWhenUsed/>
    <w:rsid w:val="00F62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6233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62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623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DDAC-3524-4B7C-974B-61F7BDED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mdtp</dc:creator>
  <cp:lastModifiedBy>Windows 使用者</cp:lastModifiedBy>
  <cp:revision>2</cp:revision>
  <dcterms:created xsi:type="dcterms:W3CDTF">2019-04-15T01:43:00Z</dcterms:created>
  <dcterms:modified xsi:type="dcterms:W3CDTF">2019-04-15T01:43:00Z</dcterms:modified>
</cp:coreProperties>
</file>